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D5E23" wp14:editId="0F414EB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r w:rsidRPr="00475DBE">
        <w:rPr>
          <w:rFonts w:ascii="Segoe UI" w:hAnsi="Segoe UI" w:cs="Segoe UI"/>
        </w:rPr>
        <w:t xml:space="preserve">В РЕЕСТР НЕДВИЖИМОСТИ ВНЕСЕНЫ СВЕДЕНИЯ ОБ ОБЪЕКТАХ </w:t>
      </w:r>
    </w:p>
    <w:p w:rsidR="00475DBE" w:rsidRP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proofErr w:type="gramStart"/>
      <w:r w:rsidRPr="00475DBE">
        <w:rPr>
          <w:rFonts w:ascii="Segoe UI" w:hAnsi="Segoe UI" w:cs="Segoe UI"/>
        </w:rPr>
        <w:t>КОННО-СПОРТИВНО</w:t>
      </w:r>
      <w:r w:rsidR="008E32C8">
        <w:rPr>
          <w:rFonts w:ascii="Segoe UI" w:hAnsi="Segoe UI" w:cs="Segoe UI"/>
        </w:rPr>
        <w:t>ГО</w:t>
      </w:r>
      <w:proofErr w:type="gramEnd"/>
      <w:r w:rsidR="008E32C8">
        <w:rPr>
          <w:rFonts w:ascii="Segoe UI" w:hAnsi="Segoe UI" w:cs="Segoe UI"/>
        </w:rPr>
        <w:t xml:space="preserve"> КОМПЛЕКСА</w:t>
      </w:r>
    </w:p>
    <w:p w:rsidR="008E32C8" w:rsidRPr="00AC6F5A" w:rsidRDefault="00475DBE" w:rsidP="00475DBE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внесены сведения об объектах</w:t>
      </w:r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первого этапа строительства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конно-спортивного</w:t>
      </w:r>
      <w:proofErr w:type="gramEnd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комплекса.</w:t>
      </w:r>
    </w:p>
    <w:p w:rsidR="00475DBE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Объекты расположены по адресу г. Курск, 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ул.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Магистральн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ая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 42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Это трехэтажное здание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</w:t>
      </w:r>
      <w:bookmarkStart w:id="0" w:name="_GoBack"/>
      <w:bookmarkEnd w:id="0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олы, площадью 14 144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кв.м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., котельная и два склада для сена и фуража.</w:t>
      </w:r>
    </w:p>
    <w:p w:rsidR="00E857AB" w:rsidRPr="00AC6F5A" w:rsidRDefault="00E857AB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 В состав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школы входят: крытый манеж,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предманежник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, трибуна для зрителей, конюшни для лошадей с ветеринарным пунктом и корпусом берейторов, мойки,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амуничники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, солярии, кормокухни, ковочная.</w:t>
      </w:r>
    </w:p>
    <w:p w:rsidR="008E32C8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Курский ипподром - один из старейших в России. Его открыли в 1873 году, тогда подобные сооружения имели только Санкт-Петербург и Москва. Решение о реконструкции курского ипподрома и строительстве конноспортивной школы было принято в 2014 году в рамках реализации трёхстороннего соглашения между АО «Российские ипподромы», 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дминистрацией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Курской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области и Газпромом. </w:t>
      </w:r>
    </w:p>
    <w:p w:rsidR="008E32C8" w:rsidRDefault="008E32C8" w:rsidP="008E32C8">
      <w:pPr>
        <w:spacing w:before="120" w:after="12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75DBE" w:rsidRPr="00475DBE" w:rsidRDefault="00475DBE" w:rsidP="008E32C8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  <w:r w:rsidRPr="00475DB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75DBE" w:rsidRPr="00475DBE" w:rsidRDefault="00475DBE" w:rsidP="00475DBE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</w:p>
    <w:p w:rsidR="00475DBE" w:rsidRDefault="00475DBE" w:rsidP="00475DBE"/>
    <w:p w:rsidR="00475DBE" w:rsidRDefault="00475DBE" w:rsidP="00475DB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Акулова Ольга Александровна,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sz w:val="18"/>
          <w:szCs w:val="18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sz w:val="18"/>
          <w:szCs w:val="18"/>
        </w:rPr>
        <w:t xml:space="preserve">: </w:t>
      </w:r>
      <w:r>
        <w:rPr>
          <w:rFonts w:ascii="Segoe UI" w:eastAsia="Calibri" w:hAnsi="Segoe UI" w:cs="Segoe UI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sz w:val="18"/>
          <w:szCs w:val="18"/>
        </w:rPr>
        <w:t>@46.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>
        <w:rPr>
          <w:rFonts w:ascii="Segoe UI" w:eastAsia="Calibri" w:hAnsi="Segoe UI" w:cs="Segoe UI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A3"/>
    <w:multiLevelType w:val="multilevel"/>
    <w:tmpl w:val="AB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E"/>
    <w:rsid w:val="004177F5"/>
    <w:rsid w:val="00475DBE"/>
    <w:rsid w:val="008E32C8"/>
    <w:rsid w:val="00AC6F5A"/>
    <w:rsid w:val="00C72D1D"/>
    <w:rsid w:val="00E857A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2019-06-07T12:42:00Z</dcterms:created>
  <dcterms:modified xsi:type="dcterms:W3CDTF">2019-06-18T07:32:00Z</dcterms:modified>
</cp:coreProperties>
</file>