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3" w:rsidRPr="00F277D3" w:rsidRDefault="00F277D3" w:rsidP="00F277D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noProof/>
          <w:color w:val="005DB7"/>
          <w:sz w:val="21"/>
          <w:szCs w:val="21"/>
          <w:lang w:eastAsia="ru-RU"/>
        </w:rPr>
        <w:drawing>
          <wp:inline distT="0" distB="0" distL="0" distR="0" wp14:anchorId="372276B0" wp14:editId="485B8238">
            <wp:extent cx="3371850" cy="1095375"/>
            <wp:effectExtent l="0" t="0" r="0" b="9525"/>
            <wp:docPr id="1" name="Рисунок 1" descr="Главная">
              <a:hlinkClick xmlns:a="http://schemas.openxmlformats.org/drawingml/2006/main" r:id="rId5" tooltip="&quot;Глав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>
                      <a:hlinkClick r:id="rId5" tooltip="&quot;Глав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D3" w:rsidRPr="00F277D3" w:rsidRDefault="00F277D3" w:rsidP="00F277D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F277D3">
        <w:rPr>
          <w:rFonts w:ascii="Verdana" w:eastAsia="Times New Roman" w:hAnsi="Verdana" w:cs="Times New Roman"/>
          <w:noProof/>
          <w:color w:val="005DB7"/>
          <w:sz w:val="18"/>
          <w:szCs w:val="18"/>
          <w:lang w:eastAsia="ru-RU"/>
        </w:rPr>
        <w:drawing>
          <wp:inline distT="0" distB="0" distL="0" distR="0" wp14:anchorId="12C9A261" wp14:editId="46AC2939">
            <wp:extent cx="219075" cy="85725"/>
            <wp:effectExtent l="0" t="0" r="9525" b="9525"/>
            <wp:docPr id="5" name="Рисунок 5" descr="RS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D3" w:rsidRPr="00F277D3" w:rsidRDefault="00F277D3" w:rsidP="00F277D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history="1">
        <w:r w:rsidRPr="00F277D3">
          <w:rPr>
            <w:rFonts w:ascii="Verdana" w:eastAsia="Times New Roman" w:hAnsi="Verdana" w:cs="Times New Roman"/>
            <w:noProof/>
            <w:color w:val="005DB7"/>
            <w:sz w:val="18"/>
            <w:szCs w:val="18"/>
            <w:lang w:eastAsia="ru-RU"/>
          </w:rPr>
          <w:drawing>
            <wp:inline distT="0" distB="0" distL="0" distR="0" wp14:anchorId="5C672267" wp14:editId="6801398E">
              <wp:extent cx="85725" cy="171450"/>
              <wp:effectExtent l="0" t="0" r="9525" b="0"/>
              <wp:docPr id="6" name="ob2" descr="Горячая линия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2" descr="Горячая линия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277D3">
          <w:rPr>
            <w:rFonts w:ascii="Verdana" w:eastAsia="Times New Roman" w:hAnsi="Verdana" w:cs="Times New Roman"/>
            <w:color w:val="005DB7"/>
            <w:sz w:val="18"/>
            <w:szCs w:val="18"/>
            <w:lang w:eastAsia="ru-RU"/>
          </w:rPr>
          <w:t>Горячая линия</w:t>
        </w:r>
        <w:r w:rsidRPr="00F277D3">
          <w:rPr>
            <w:rFonts w:ascii="Verdana" w:eastAsia="Times New Roman" w:hAnsi="Verdana" w:cs="Times New Roman"/>
            <w:b/>
            <w:bCs/>
            <w:color w:val="EE2200"/>
            <w:sz w:val="18"/>
            <w:szCs w:val="18"/>
            <w:lang w:eastAsia="ru-RU"/>
          </w:rPr>
          <w:t>8-4712-58-71-86</w:t>
        </w:r>
      </w:hyperlink>
    </w:p>
    <w:p w:rsidR="00F277D3" w:rsidRPr="00F277D3" w:rsidRDefault="00F277D3" w:rsidP="00F277D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77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77D3" w:rsidRPr="00F277D3" w:rsidRDefault="00F277D3" w:rsidP="00F277D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77D3">
        <w:rPr>
          <w:rFonts w:ascii="Verdana" w:eastAsia="Times New Roman" w:hAnsi="Verdana" w:cs="Times New Roman"/>
          <w:b/>
          <w:bCs/>
          <w:color w:val="EE2200"/>
          <w:sz w:val="18"/>
          <w:szCs w:val="18"/>
          <w:lang w:eastAsia="ru-RU"/>
        </w:rPr>
        <w:t>Единый консультационный центр</w:t>
      </w:r>
    </w:p>
    <w:p w:rsidR="00F277D3" w:rsidRPr="00F277D3" w:rsidRDefault="00F277D3" w:rsidP="00F277D3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77D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8-800-555-49-43 </w:t>
      </w:r>
      <w:r w:rsidRPr="00F277D3">
        <w:rPr>
          <w:rFonts w:ascii="Verdana" w:eastAsia="Times New Roman" w:hAnsi="Verdana" w:cs="Times New Roman"/>
          <w:b/>
          <w:bCs/>
          <w:color w:val="EE2200"/>
          <w:sz w:val="18"/>
          <w:szCs w:val="18"/>
          <w:lang w:eastAsia="ru-RU"/>
        </w:rPr>
        <w:t>(звонок бесплатный)</w:t>
      </w:r>
    </w:p>
    <w:p w:rsidR="00F277D3" w:rsidRPr="00F277D3" w:rsidRDefault="00F277D3" w:rsidP="00F277D3">
      <w:pPr>
        <w:spacing w:after="288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F277D3" w:rsidRPr="00F277D3" w:rsidRDefault="00F277D3" w:rsidP="00F277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77D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77D3" w:rsidRPr="00F277D3" w:rsidRDefault="00F277D3" w:rsidP="00F277D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277D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7.75pt;height:22.5pt" o:ole="">
            <v:imagedata r:id="rId11" o:title=""/>
          </v:shape>
          <w:control r:id="rId12" w:name="DefaultOcxName" w:shapeid="_x0000_i1027"/>
        </w:object>
      </w:r>
    </w:p>
    <w:p w:rsidR="00F277D3" w:rsidRPr="00F277D3" w:rsidRDefault="00F277D3" w:rsidP="00F277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77D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77D3" w:rsidRPr="00F277D3" w:rsidRDefault="00F277D3" w:rsidP="00F277D3">
      <w:pPr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277D3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Об итогах судебной практики по защите прав потребителей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За 2020 </w:t>
      </w:r>
      <w:proofErr w:type="gramStart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год  Управлением</w:t>
      </w:r>
      <w:proofErr w:type="gramEnd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 </w:t>
      </w:r>
      <w:proofErr w:type="spellStart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Роспотребназора</w:t>
      </w:r>
      <w:proofErr w:type="spellEnd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 Курской области по фактам реализации в розничной торговой сети пищевых продуктов и промышленных товаров ненадлежащего качества в судебные органы 15 регионов РФ направлено 34 иска в защиту прав неопределенного круга потребителей. В настоящее время рассмотрено 30 исков, все они удовлетворены.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Для рассмотрения и принятия мер в суды Управлением направлено 79 протоколов, </w:t>
      </w:r>
      <w:proofErr w:type="gramStart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составленных  специалистами</w:t>
      </w:r>
      <w:proofErr w:type="gramEnd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отдела защиты прав потребителей.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По состоянию на 1 февраля 2021 года 60 протоколов рассмотрены, правонарушители привлечены к административной ответственности в виде штрафов, в том числе судами вынесено 29 решений о </w:t>
      </w:r>
      <w:proofErr w:type="gramStart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наложении  штрафов</w:t>
      </w:r>
      <w:proofErr w:type="gramEnd"/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 конфискацией  предметов административного правонарушения.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 результатам рассмотрения материалов проверок, поступивших из органов полиции, составлено 24 протокола об административном правонарушении по части 4 статьи 15.12 КоАП РФ, за оборот табачных изделий без маркировки акцизными марками Российской Федерации (сигареты производства Республики Беларусь). Материалы проверок направлены Управлением в суды для привлечения виновных к административной ответственности и конфискации табачной продукции без акцизных марок.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2020 году специалистами Управления дано 6 заключений в судах в целях защиты прав потребителей в сфере туристских, финансовых услуг и торговли.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Судебная защита прав потребителей – один из важнейших механизмов, позволяющих потребителю защитить свои права.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Важно отметить, что государство, признавая потребителя наиболее слабой и наименее защищенной стороной в договоре, нуждающейся в особой защите, предоставляет потребителям дополнительные преференции в виде: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- альтернативной подсудности, когда заявления о защите прав потребителей предъявляются в суд по месту жительства или пребывания истца, либо по месту заключения или исполнения договора, либо по месту нахождения организации или </w:t>
      </w: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по месту жительства индивидуального предпринимателя (пункт 2 статьи 17 Закона «О защите прав потребителей»);</w:t>
      </w:r>
    </w:p>
    <w:p w:rsidR="00F277D3" w:rsidRPr="00F277D3" w:rsidRDefault="00F277D3" w:rsidP="00F277D3">
      <w:pPr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освобождения от уплаты государственной пошлины по делам, связанным с нарушением прав потребителей (пункт 3 статьи 17 Закона «О защите прав потребителей»);</w:t>
      </w:r>
    </w:p>
    <w:p w:rsidR="00F277D3" w:rsidRPr="00F277D3" w:rsidRDefault="00F277D3" w:rsidP="00F277D3">
      <w:pPr>
        <w:spacing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277D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взыскания в пользу потребителя штрафа в размере пятидесяти процентов от суммы, присужденной судом в пользу потребителя, за несоблюдение добровольного порядка удовлетворения его требований (пункт 6 статьи 13 Закона «О защите прав потребителей», пункт 46 постановлении Пленума Верховного Суда Российской Федерации от 28.06.2012 № 17 «О рассмотрении судами гражданских дел по спорам о защите прав потребителей») и другие.</w:t>
      </w:r>
    </w:p>
    <w:p w:rsidR="00A54701" w:rsidRDefault="00A54701"/>
    <w:sectPr w:rsidR="00A5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1E41"/>
    <w:multiLevelType w:val="multilevel"/>
    <w:tmpl w:val="984E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D3"/>
    <w:rsid w:val="00A54701"/>
    <w:rsid w:val="00F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80AA-E157-4F75-AC0B-B76F07B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837">
                  <w:marLeft w:val="75"/>
                  <w:marRight w:val="13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7675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29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408">
                  <w:marLeft w:val="1208"/>
                  <w:marRight w:val="2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729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2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60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20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72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39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22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479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6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3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25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6.rospotrebnadzor.ru/rss.xml" TargetMode="Externa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5" Type="http://schemas.openxmlformats.org/officeDocument/2006/relationships/hyperlink" Target="http://46.rospotrebnadzor.ru/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46.rospotrebnadzor.ru/content/o-rabote-goryachey-linii-upravleniya-rospotrebnadzora-po-kurskoy-oblasti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2021-06-29T11:09:00Z</dcterms:created>
  <dcterms:modified xsi:type="dcterms:W3CDTF">2021-06-29T11:11:00Z</dcterms:modified>
</cp:coreProperties>
</file>